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0" w:line="560" w:lineRule="exact"/>
        <w:jc w:val="center"/>
        <w:rPr>
          <w:rFonts w:ascii="华文中宋" w:hAnsi="华文中宋" w:eastAsia="华文中宋"/>
          <w:kern w:val="2"/>
          <w:sz w:val="44"/>
          <w:szCs w:val="44"/>
        </w:rPr>
      </w:pPr>
      <w:bookmarkStart w:id="0" w:name="_Toc163461725"/>
      <w:r>
        <w:rPr>
          <w:rFonts w:hint="eastAsia" w:ascii="华文中宋" w:hAnsi="华文中宋" w:eastAsia="华文中宋"/>
          <w:kern w:val="2"/>
          <w:sz w:val="44"/>
          <w:szCs w:val="44"/>
        </w:rPr>
        <w:t>吉首大学软件学院科研</w:t>
      </w:r>
      <w:r>
        <w:rPr>
          <w:rFonts w:hint="eastAsia" w:ascii="华文中宋" w:hAnsi="华文中宋" w:eastAsia="华文中宋"/>
          <w:kern w:val="2"/>
          <w:sz w:val="44"/>
          <w:szCs w:val="44"/>
          <w:lang w:eastAsia="zh-CN"/>
        </w:rPr>
        <w:t>项目</w:t>
      </w:r>
      <w:r>
        <w:rPr>
          <w:rFonts w:hint="eastAsia" w:ascii="华文中宋" w:hAnsi="华文中宋" w:eastAsia="华文中宋"/>
          <w:kern w:val="2"/>
          <w:sz w:val="44"/>
          <w:szCs w:val="44"/>
        </w:rPr>
        <w:t>管理办法</w:t>
      </w:r>
    </w:p>
    <w:p>
      <w:pPr>
        <w:snapToGrid w:val="0"/>
        <w:spacing w:after="0" w:line="560" w:lineRule="exact"/>
        <w:jc w:val="center"/>
        <w:rPr>
          <w:rFonts w:ascii="仿宋_GB2312" w:hAnsi="华文中宋" w:eastAsia="仿宋_GB2312"/>
          <w:kern w:val="2"/>
          <w:sz w:val="32"/>
          <w:szCs w:val="32"/>
        </w:rPr>
      </w:pPr>
      <w:r>
        <w:rPr>
          <w:rFonts w:hint="eastAsia" w:ascii="仿宋_GB2312" w:hAnsi="华文中宋" w:eastAsia="仿宋_GB2312"/>
          <w:kern w:val="2"/>
          <w:sz w:val="32"/>
          <w:szCs w:val="32"/>
        </w:rPr>
        <w:t>（20</w:t>
      </w:r>
      <w:r>
        <w:rPr>
          <w:rFonts w:hint="eastAsia" w:ascii="仿宋_GB2312" w:hAnsi="华文中宋" w:eastAsia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华文中宋" w:eastAsia="仿宋_GB2312"/>
          <w:kern w:val="2"/>
          <w:sz w:val="32"/>
          <w:szCs w:val="32"/>
        </w:rPr>
        <w:t>年</w:t>
      </w:r>
      <w:r>
        <w:rPr>
          <w:rFonts w:hint="eastAsia" w:ascii="仿宋_GB2312" w:hAnsi="华文中宋" w:eastAsia="仿宋_GB2312"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华文中宋" w:eastAsia="仿宋_GB2312"/>
          <w:kern w:val="2"/>
          <w:sz w:val="32"/>
          <w:szCs w:val="32"/>
        </w:rPr>
        <w:t>月）</w:t>
      </w:r>
    </w:p>
    <w:p>
      <w:pPr>
        <w:snapToGrid w:val="0"/>
        <w:spacing w:after="0" w:line="560" w:lineRule="exact"/>
        <w:rPr>
          <w:rFonts w:ascii="Times New Roman" w:eastAsia="宋体"/>
          <w:kern w:val="2"/>
          <w:sz w:val="21"/>
          <w:szCs w:val="24"/>
        </w:rPr>
      </w:pPr>
    </w:p>
    <w:p>
      <w:pPr>
        <w:snapToGrid w:val="0"/>
        <w:spacing w:after="0" w:line="560" w:lineRule="exact"/>
        <w:ind w:firstLine="640" w:firstLineChars="2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为加强我院科学研究管理，促进学科建设与发展，引导和培育特色科研方向，规范管理学院的院级科研项目，确保科研经费的有效使用，依据学院科研管理实际，特制定本办法。</w:t>
      </w:r>
    </w:p>
    <w:p>
      <w:pPr>
        <w:snapToGrid w:val="0"/>
        <w:spacing w:after="0" w:line="560" w:lineRule="exact"/>
        <w:ind w:firstLine="640" w:firstLineChars="200"/>
        <w:rPr>
          <w:rFonts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第一条   </w:t>
      </w:r>
      <w:r>
        <w:rPr>
          <w:rFonts w:hint="eastAsia" w:ascii="仿宋_GB2312" w:eastAsia="仿宋_GB2312"/>
          <w:kern w:val="2"/>
          <w:sz w:val="32"/>
          <w:szCs w:val="32"/>
          <w:lang w:eastAsia="zh-CN"/>
        </w:rPr>
        <w:t>资助计划</w:t>
      </w:r>
      <w:r>
        <w:rPr>
          <w:rFonts w:hint="eastAsia" w:ascii="仿宋_GB2312" w:eastAsia="仿宋_GB2312"/>
          <w:kern w:val="2"/>
          <w:sz w:val="32"/>
          <w:szCs w:val="32"/>
        </w:rPr>
        <w:t>分类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院级科研</w:t>
      </w:r>
      <w:r>
        <w:rPr>
          <w:rFonts w:hint="eastAsia" w:ascii="仿宋_GB2312" w:eastAsia="仿宋_GB2312"/>
          <w:kern w:val="2"/>
          <w:sz w:val="32"/>
          <w:szCs w:val="32"/>
          <w:lang w:eastAsia="zh-CN"/>
        </w:rPr>
        <w:t>课题资助优先支持四</w:t>
      </w:r>
      <w:r>
        <w:rPr>
          <w:rFonts w:hint="eastAsia" w:ascii="仿宋_GB2312" w:eastAsia="仿宋_GB2312"/>
          <w:kern w:val="2"/>
          <w:sz w:val="32"/>
          <w:szCs w:val="32"/>
        </w:rPr>
        <w:t>类：</w:t>
      </w:r>
      <w:r>
        <w:rPr>
          <w:rFonts w:hint="eastAsia" w:ascii="仿宋_GB2312" w:eastAsia="仿宋_GB2312"/>
          <w:kern w:val="2"/>
          <w:sz w:val="32"/>
          <w:szCs w:val="32"/>
          <w:lang w:eastAsia="zh-CN"/>
        </w:rPr>
        <w:t>博士和在读博士科研课题资助计划、俊彦学者科研课题资助计划、青年教师科研课题资助计划、有意申报横向纵向课题的教师。</w:t>
      </w:r>
      <w:r>
        <w:rPr>
          <w:rFonts w:hint="eastAsia" w:ascii="仿宋_GB2312" w:eastAsia="仿宋_GB2312"/>
          <w:kern w:val="2"/>
          <w:sz w:val="32"/>
          <w:szCs w:val="32"/>
        </w:rPr>
        <w:t>每位项目主持人限项申报一项，有在研项目者暂缓资助</w:t>
      </w:r>
      <w:r>
        <w:rPr>
          <w:rFonts w:hint="eastAsia" w:ascii="仿宋_GB2312" w:hAnsi="ˎ̥" w:eastAsia="仿宋_GB2312" w:cs="宋体"/>
          <w:color w:val="000000"/>
          <w:sz w:val="32"/>
          <w:szCs w:val="32"/>
        </w:rPr>
        <w:t>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第二条  申报程序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1、</w:t>
      </w:r>
      <w:r>
        <w:rPr>
          <w:rFonts w:hint="eastAsia" w:ascii="仿宋_GB2312" w:hAnsi="ˎ̥" w:eastAsia="仿宋_GB2312" w:cs="宋体"/>
          <w:color w:val="000000"/>
          <w:sz w:val="32"/>
          <w:szCs w:val="32"/>
          <w:lang w:eastAsia="zh-CN"/>
        </w:rPr>
        <w:t>所有</w:t>
      </w:r>
      <w:r>
        <w:rPr>
          <w:rFonts w:hint="eastAsia" w:ascii="仿宋_GB2312" w:hAnsi="ˎ̥" w:eastAsia="仿宋_GB2312" w:cs="宋体"/>
          <w:color w:val="000000"/>
          <w:sz w:val="32"/>
          <w:szCs w:val="32"/>
        </w:rPr>
        <w:t>院级科研项目采取自由申报。院学术委员会组织评审和批准立项。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2、申请者要认真填写《吉首大学软件学院科研项目申报书》一式两份，学院科研办对《申报书》进行资格、形式审查后报院学术委员会进行评审，评审结果由院科研办报送院长批准。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3、院级科研项目被批准后由科研办下达项目通知书，正式立项并列入学院当年年度科研计划。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第三条  项目验收</w:t>
      </w:r>
    </w:p>
    <w:p>
      <w:pPr>
        <w:snapToGrid w:val="0"/>
        <w:spacing w:after="0" w:line="560" w:lineRule="exact"/>
        <w:ind w:firstLine="632" w:firstLineChars="200"/>
        <w:rPr>
          <w:rFonts w:hint="eastAsia" w:ascii="仿宋_GB2312" w:hAnsi="ˎ̥" w:eastAsia="仿宋_GB2312" w:cs="宋体"/>
          <w:color w:val="000000"/>
          <w:spacing w:val="-2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pacing w:val="-2"/>
          <w:sz w:val="32"/>
          <w:szCs w:val="32"/>
        </w:rPr>
        <w:t>1、院级科研项目在规定执行期结束时应以适当形式结题或鉴定。项目负责人应在计划完成的期限之前提出项目验收申请，填报结题验收表格并提交成果材料各一份。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2、以论文结题的项目，一般要求</w:t>
      </w:r>
      <w:bookmarkStart w:id="1" w:name="_GoBack"/>
      <w:bookmarkEnd w:id="1"/>
      <w:r>
        <w:rPr>
          <w:rFonts w:hint="eastAsia" w:ascii="仿宋_GB2312" w:hAnsi="ˎ̥" w:eastAsia="仿宋_GB2312" w:cs="宋体"/>
          <w:color w:val="000000"/>
          <w:sz w:val="32"/>
          <w:szCs w:val="32"/>
        </w:rPr>
        <w:t>公开刊物正刊发表</w:t>
      </w:r>
      <w:r>
        <w:rPr>
          <w:rFonts w:hint="eastAsia" w:ascii="仿宋_GB2312" w:hAnsi="ˎ̥" w:eastAsia="仿宋_GB2312" w:cs="宋体"/>
          <w:color w:val="000000"/>
          <w:sz w:val="32"/>
          <w:szCs w:val="32"/>
          <w:lang w:eastAsia="zh-CN"/>
        </w:rPr>
        <w:t>至少</w:t>
      </w:r>
      <w:r>
        <w:rPr>
          <w:rFonts w:hint="eastAsia" w:ascii="仿宋_GB2312" w:hAnsi="ˎ̥" w:eastAsia="仿宋_GB2312" w:cs="宋体"/>
          <w:color w:val="000000"/>
          <w:sz w:val="32"/>
          <w:szCs w:val="32"/>
        </w:rPr>
        <w:t>1篇专业学术论文，所有项目成果必须标注“吉首大学软件学院院级科研项目资助（编号※※），否则，不予结题。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3、项目研究期限一般为</w:t>
      </w:r>
      <w:r>
        <w:rPr>
          <w:rFonts w:hint="eastAsia" w:ascii="仿宋_GB2312" w:hAnsi="ˎ̥" w:eastAsia="仿宋_GB2312" w:cs="宋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ˎ̥" w:eastAsia="仿宋_GB2312" w:cs="宋体"/>
          <w:color w:val="000000"/>
          <w:sz w:val="32"/>
          <w:szCs w:val="32"/>
        </w:rPr>
        <w:t>年，一般不能延期。凡是在研究期限没有完成的，撤消研究项目，取消项目研究经费。特殊情况经院学术委员会批准后最多可延期1年。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第四条 经费管理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1、项目验收后可进行报账。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2、开支范围包括：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科研业务费：包括测试分析、业务资料、论文发表、国内学术会议费和国内调研费、部分专著出版费、成果鉴定验收费、专利申报及维持费。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3、项目经费不得开支自驾车等相关旅差费用。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第五条  本办法由科研办负责解释。</w:t>
      </w:r>
    </w:p>
    <w:p>
      <w:pPr>
        <w:snapToGrid w:val="0"/>
        <w:spacing w:after="0" w:line="560" w:lineRule="exact"/>
        <w:ind w:firstLine="640" w:firstLineChars="200"/>
        <w:rPr>
          <w:rFonts w:hint="eastAsia" w:ascii="仿宋_GB2312" w:hAnsi="ˎ̥" w:eastAsia="仿宋_GB2312" w:cs="宋体"/>
          <w:color w:val="000000"/>
          <w:sz w:val="32"/>
          <w:szCs w:val="32"/>
        </w:rPr>
      </w:pPr>
      <w:r>
        <w:rPr>
          <w:rFonts w:hint="eastAsia" w:ascii="仿宋_GB2312" w:hAnsi="ˎ̥" w:eastAsia="仿宋_GB2312" w:cs="宋体"/>
          <w:color w:val="000000"/>
          <w:sz w:val="32"/>
          <w:szCs w:val="32"/>
        </w:rPr>
        <w:t>第六条  本办法从发文之日起实行。</w:t>
      </w:r>
      <w:bookmarkEnd w:id="0"/>
    </w:p>
    <w:p>
      <w:pPr>
        <w:snapToGrid w:val="0"/>
        <w:spacing w:after="0" w:line="560" w:lineRule="exact"/>
        <w:ind w:firstLine="44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42"/>
    <w:rsid w:val="00232EC5"/>
    <w:rsid w:val="00432BE6"/>
    <w:rsid w:val="00440115"/>
    <w:rsid w:val="004F47E6"/>
    <w:rsid w:val="005402A2"/>
    <w:rsid w:val="006845D1"/>
    <w:rsid w:val="00707A3C"/>
    <w:rsid w:val="008B4AB0"/>
    <w:rsid w:val="00A02F00"/>
    <w:rsid w:val="00C42842"/>
    <w:rsid w:val="00E451FE"/>
    <w:rsid w:val="00ED7017"/>
    <w:rsid w:val="00EF2BDF"/>
    <w:rsid w:val="0FC87214"/>
    <w:rsid w:val="38CF1BB1"/>
    <w:rsid w:val="3D760174"/>
    <w:rsid w:val="599A7564"/>
    <w:rsid w:val="5E49402A"/>
    <w:rsid w:val="65EE41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hAnsi="Times New Roman" w:cs="Times New Roman" w:asciiTheme="minorHAnsi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777</Characters>
  <Lines>6</Lines>
  <Paragraphs>1</Paragraphs>
  <TotalTime>927</TotalTime>
  <ScaleCrop>false</ScaleCrop>
  <LinksUpToDate>false</LinksUpToDate>
  <CharactersWithSpaces>912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2017-09-13T14:39:00Z</dcterms:created>
  <dc:creator>Liu Dr.</dc:creator>
  <cp:lastModifiedBy>lee</cp:lastModifiedBy>
  <cp:lastPrinted>2019-10-08T01:04:00Z</cp:lastPrinted>
  <dcterms:modified xsi:type="dcterms:W3CDTF">2020-07-21T06:22:43Z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